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D4A8" w14:textId="0E0DEC67" w:rsidR="00540930" w:rsidRDefault="00540930" w:rsidP="00540930">
      <w:r>
        <w:t xml:space="preserve">Institutional Effectiveness Steering Committee </w:t>
      </w:r>
      <w:proofErr w:type="gramStart"/>
      <w:r w:rsidR="00676DDE">
        <w:t>21</w:t>
      </w:r>
      <w:r w:rsidR="005E5EDE">
        <w:rPr>
          <w:vertAlign w:val="superscript"/>
        </w:rPr>
        <w:t>th</w:t>
      </w:r>
      <w:proofErr w:type="gramEnd"/>
      <w:r w:rsidR="00EA4ABC">
        <w:t xml:space="preserve"> </w:t>
      </w:r>
      <w:r w:rsidR="00676DDE">
        <w:t>Februa</w:t>
      </w:r>
      <w:r w:rsidR="00E83560">
        <w:t>ry</w:t>
      </w:r>
      <w:r>
        <w:t xml:space="preserve"> 202</w:t>
      </w:r>
      <w:r w:rsidR="00E83560">
        <w:t>4</w:t>
      </w:r>
      <w:r>
        <w:t xml:space="preserve"> meeting </w:t>
      </w:r>
      <w:r w:rsidR="00096D01">
        <w:t>Minutes</w:t>
      </w:r>
    </w:p>
    <w:p w14:paraId="5EFC01BA" w14:textId="648CB463" w:rsidR="00540930" w:rsidRPr="003D1AB2" w:rsidRDefault="00540930" w:rsidP="00540930">
      <w:pPr>
        <w:pStyle w:val="Subtitle"/>
        <w:rPr>
          <w:sz w:val="24"/>
          <w:szCs w:val="24"/>
        </w:rPr>
      </w:pPr>
      <w:r>
        <w:t>Members: Gail Hamilton, Manuel Caballer, Zarifa</w:t>
      </w:r>
      <w:r w:rsidR="00F17BDF">
        <w:t xml:space="preserve"> </w:t>
      </w:r>
      <w:r w:rsidR="00243B4C" w:rsidRPr="00243B4C">
        <w:t>Mirzayeva</w:t>
      </w:r>
      <w:r w:rsidR="00F17BDF">
        <w:t xml:space="preserve">, </w:t>
      </w:r>
      <w:r>
        <w:t>and Claudio Piani</w:t>
      </w:r>
    </w:p>
    <w:p w14:paraId="04DB2E77" w14:textId="77777777" w:rsidR="00540930" w:rsidRPr="00C15F3C" w:rsidRDefault="00540930" w:rsidP="0054093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Welcome members present (apologies).</w:t>
      </w:r>
    </w:p>
    <w:p w14:paraId="6792424D" w14:textId="77777777" w:rsidR="00540930" w:rsidRDefault="00540930" w:rsidP="0054093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A7169">
        <w:rPr>
          <w:rFonts w:cstheme="minorHAnsi"/>
        </w:rPr>
        <w:t xml:space="preserve">Approval of agenda </w:t>
      </w:r>
    </w:p>
    <w:p w14:paraId="137646B4" w14:textId="7569D1F5" w:rsidR="00AE4184" w:rsidRDefault="00AE4184" w:rsidP="0054093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Approval of minutes</w:t>
      </w:r>
    </w:p>
    <w:p w14:paraId="1F3244BE" w14:textId="46AC9289" w:rsidR="00540930" w:rsidRDefault="00DD4105" w:rsidP="0054093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Where are we with the revision of the Institutional Effectiveness process at AUP? </w:t>
      </w:r>
    </w:p>
    <w:p w14:paraId="2A1624E9" w14:textId="4505C066" w:rsidR="00A711AE" w:rsidRDefault="00F20B08" w:rsidP="00A711A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 templates have been</w:t>
      </w:r>
      <w:r w:rsidR="009F3CBC">
        <w:rPr>
          <w:rFonts w:cstheme="minorHAnsi"/>
        </w:rPr>
        <w:t xml:space="preserve"> prepared for each unit (</w:t>
      </w:r>
      <w:r w:rsidR="0035444A">
        <w:rPr>
          <w:rFonts w:cstheme="minorHAnsi"/>
        </w:rPr>
        <w:t>strategic objectives, planned actions from last year, staff names, etc..</w:t>
      </w:r>
      <w:r w:rsidR="009F3CBC">
        <w:rPr>
          <w:rFonts w:cstheme="minorHAnsi"/>
        </w:rPr>
        <w:t>)</w:t>
      </w:r>
      <w:r>
        <w:rPr>
          <w:rFonts w:cstheme="minorHAnsi"/>
        </w:rPr>
        <w:t xml:space="preserve"> and are ready to go. We could send the </w:t>
      </w:r>
      <w:proofErr w:type="gramStart"/>
      <w:r>
        <w:rPr>
          <w:rFonts w:cstheme="minorHAnsi"/>
        </w:rPr>
        <w:t>Admin</w:t>
      </w:r>
      <w:proofErr w:type="gramEnd"/>
      <w:r>
        <w:rPr>
          <w:rFonts w:cstheme="minorHAnsi"/>
        </w:rPr>
        <w:t xml:space="preserve"> u</w:t>
      </w:r>
      <w:r w:rsidR="009F3CBC">
        <w:rPr>
          <w:rFonts w:cstheme="minorHAnsi"/>
        </w:rPr>
        <w:t>nit templates off now if we agree.</w:t>
      </w:r>
    </w:p>
    <w:p w14:paraId="4DA23CD1" w14:textId="19F3EF8C" w:rsidR="00A711AE" w:rsidRPr="007144DE" w:rsidRDefault="0035444A" w:rsidP="007144D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Templates for department are waiting for assessment result to come in</w:t>
      </w:r>
      <w:r w:rsidR="007144DE">
        <w:rPr>
          <w:rFonts w:cstheme="minorHAnsi"/>
        </w:rPr>
        <w:t>.</w:t>
      </w:r>
    </w:p>
    <w:p w14:paraId="33C70407" w14:textId="77777777" w:rsidR="00224BA0" w:rsidRDefault="00863131" w:rsidP="008631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Revision of Curricular Review </w:t>
      </w:r>
      <w:r w:rsidR="004E16C3">
        <w:rPr>
          <w:rFonts w:cstheme="minorHAnsi"/>
        </w:rPr>
        <w:t>Guidelines: where are we on that?</w:t>
      </w:r>
      <w:r w:rsidR="00096D01">
        <w:rPr>
          <w:rFonts w:cstheme="minorHAnsi"/>
        </w:rPr>
        <w:t xml:space="preserve"> </w:t>
      </w:r>
    </w:p>
    <w:p w14:paraId="134ADC3C" w14:textId="266495A9" w:rsidR="004E16C3" w:rsidRDefault="00096D01" w:rsidP="00224BA0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 requested changes</w:t>
      </w:r>
      <w:r w:rsidR="00224BA0">
        <w:rPr>
          <w:rFonts w:cstheme="minorHAnsi"/>
        </w:rPr>
        <w:t>. Only grumbling about the length and intricacies of the GLACC and CC process.</w:t>
      </w:r>
      <w:r w:rsidR="00067C60">
        <w:rPr>
          <w:rFonts w:cstheme="minorHAnsi"/>
        </w:rPr>
        <w:t xml:space="preserve"> (See Gail’s email below).</w:t>
      </w:r>
    </w:p>
    <w:p w14:paraId="5D43A1AB" w14:textId="771D75C2" w:rsidR="004E16C3" w:rsidRDefault="004E16C3" w:rsidP="008631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Outcomes Assessment Day scheduled for May 2</w:t>
      </w:r>
      <w:r w:rsidRPr="004E16C3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(terrible date but had no alternative)</w:t>
      </w:r>
    </w:p>
    <w:p w14:paraId="38ABD40D" w14:textId="565F0889" w:rsidR="00AE1302" w:rsidRDefault="00224BA0" w:rsidP="00AE1302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Suggested Workshops:</w:t>
      </w:r>
    </w:p>
    <w:p w14:paraId="5EE7580C" w14:textId="5BFC980D" w:rsidR="00224BA0" w:rsidRDefault="00202497" w:rsidP="00224BA0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Workshop for new faculty</w:t>
      </w:r>
    </w:p>
    <w:p w14:paraId="412D44C6" w14:textId="233D218C" w:rsidR="00202497" w:rsidRDefault="00202497" w:rsidP="00224BA0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Using LMS for tracking student achievement of LOs</w:t>
      </w:r>
      <w:r w:rsidR="001A1246">
        <w:rPr>
          <w:rFonts w:cstheme="minorHAnsi"/>
        </w:rPr>
        <w:t xml:space="preserve"> (Claudio to ask </w:t>
      </w:r>
      <w:r w:rsidR="003903C5">
        <w:rPr>
          <w:rFonts w:cstheme="minorHAnsi"/>
        </w:rPr>
        <w:t>Kevin and Jennifer)</w:t>
      </w:r>
    </w:p>
    <w:p w14:paraId="2B06CF6E" w14:textId="07E288F8" w:rsidR="00202497" w:rsidRDefault="001A1246" w:rsidP="00224BA0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Streamlining advising Improving collaboration between the Advising section and faculty (Claudio to ask Linda and Isabelle)</w:t>
      </w:r>
    </w:p>
    <w:p w14:paraId="47AD14B9" w14:textId="611509C5" w:rsidR="00B86A47" w:rsidRPr="00FC2C31" w:rsidRDefault="003903C5" w:rsidP="00FC2C31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Ameliorating low response rates to student course eval</w:t>
      </w:r>
      <w:r w:rsidR="00E95A64">
        <w:rPr>
          <w:rFonts w:cstheme="minorHAnsi"/>
        </w:rPr>
        <w:t>uation</w:t>
      </w:r>
      <w:r w:rsidR="00BE5B3B">
        <w:rPr>
          <w:rFonts w:cstheme="minorHAnsi"/>
        </w:rPr>
        <w:t>s</w:t>
      </w:r>
      <w:r w:rsidR="00F2314A">
        <w:rPr>
          <w:rFonts w:cstheme="minorHAnsi"/>
        </w:rPr>
        <w:t xml:space="preserve"> (</w:t>
      </w:r>
      <w:r w:rsidR="009C5C5E">
        <w:rPr>
          <w:rFonts w:cstheme="minorHAnsi"/>
        </w:rPr>
        <w:t>Manu will develop this idea)</w:t>
      </w:r>
    </w:p>
    <w:p w14:paraId="136BA116" w14:textId="23285DCB" w:rsidR="00863131" w:rsidRDefault="00AE1302" w:rsidP="008631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We have to start thinking of the new </w:t>
      </w:r>
      <w:r w:rsidR="00A84402">
        <w:rPr>
          <w:rFonts w:cstheme="minorHAnsi"/>
        </w:rPr>
        <w:t xml:space="preserve">MSCHE </w:t>
      </w:r>
      <w:r>
        <w:rPr>
          <w:rFonts w:cstheme="minorHAnsi"/>
        </w:rPr>
        <w:t>Standards and suggested evidence</w:t>
      </w:r>
      <w:r w:rsidR="00A84402">
        <w:rPr>
          <w:rFonts w:cstheme="minorHAnsi"/>
        </w:rPr>
        <w:t xml:space="preserve">. Who is staying on </w:t>
      </w:r>
      <w:r w:rsidR="00ED4FFD">
        <w:rPr>
          <w:rFonts w:cstheme="minorHAnsi"/>
        </w:rPr>
        <w:t>for</w:t>
      </w:r>
      <w:r w:rsidR="00A84402">
        <w:rPr>
          <w:rFonts w:cstheme="minorHAnsi"/>
        </w:rPr>
        <w:t xml:space="preserve"> 2024/25?</w:t>
      </w:r>
      <w:r w:rsidR="00FC2C31">
        <w:rPr>
          <w:rFonts w:cstheme="minorHAnsi"/>
        </w:rPr>
        <w:t xml:space="preserve"> (just Claudio and Zarifa)</w:t>
      </w:r>
    </w:p>
    <w:p w14:paraId="2F7C2D4A" w14:textId="794BBD77" w:rsidR="00D37164" w:rsidRDefault="00D37164" w:rsidP="00D3716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Zarifa to set up folder systems to start collecting items for the </w:t>
      </w:r>
      <w:r w:rsidR="008568E5">
        <w:rPr>
          <w:rFonts w:cstheme="minorHAnsi"/>
        </w:rPr>
        <w:t>Self-Study evidence inventory.</w:t>
      </w:r>
    </w:p>
    <w:p w14:paraId="71DAFFE3" w14:textId="77777777" w:rsidR="00803864" w:rsidRDefault="008568E5" w:rsidP="00D3716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next session will be devoted to going through the MSCHE evidence inventory suggestions to see what documents</w:t>
      </w:r>
      <w:r w:rsidR="00803864">
        <w:rPr>
          <w:rFonts w:cstheme="minorHAnsi"/>
        </w:rPr>
        <w:t xml:space="preserve"> we:</w:t>
      </w:r>
    </w:p>
    <w:p w14:paraId="0D3AE1D7" w14:textId="5DF69135" w:rsidR="00803864" w:rsidRDefault="00980C70" w:rsidP="00803864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</w:t>
      </w:r>
      <w:r w:rsidR="00803864">
        <w:rPr>
          <w:rFonts w:cstheme="minorHAnsi"/>
        </w:rPr>
        <w:t>ave,</w:t>
      </w:r>
    </w:p>
    <w:p w14:paraId="2C1BF67C" w14:textId="0B362AEA" w:rsidR="00603479" w:rsidRDefault="00980C70" w:rsidP="00803864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</w:t>
      </w:r>
      <w:r w:rsidR="00603479">
        <w:rPr>
          <w:rFonts w:cstheme="minorHAnsi"/>
        </w:rPr>
        <w:t xml:space="preserve">ave but not of good quality, </w:t>
      </w:r>
      <w:r>
        <w:rPr>
          <w:rFonts w:cstheme="minorHAnsi"/>
        </w:rPr>
        <w:t xml:space="preserve">or not </w:t>
      </w:r>
      <w:r w:rsidR="00603479">
        <w:rPr>
          <w:rFonts w:cstheme="minorHAnsi"/>
        </w:rPr>
        <w:t xml:space="preserve">regularly </w:t>
      </w:r>
      <w:r>
        <w:rPr>
          <w:rFonts w:cstheme="minorHAnsi"/>
        </w:rPr>
        <w:t>updated and archived,</w:t>
      </w:r>
    </w:p>
    <w:p w14:paraId="308815BF" w14:textId="328DBB0F" w:rsidR="008568E5" w:rsidRDefault="00980C70" w:rsidP="00803864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803864">
        <w:rPr>
          <w:rFonts w:cstheme="minorHAnsi"/>
        </w:rPr>
        <w:t>o not have but have obvious substitutes for</w:t>
      </w:r>
      <w:r w:rsidR="00603479">
        <w:rPr>
          <w:rFonts w:cstheme="minorHAnsi"/>
        </w:rPr>
        <w:t>,</w:t>
      </w:r>
      <w:r w:rsidR="008568E5">
        <w:rPr>
          <w:rFonts w:cstheme="minorHAnsi"/>
        </w:rPr>
        <w:t xml:space="preserve"> </w:t>
      </w:r>
    </w:p>
    <w:p w14:paraId="0253E217" w14:textId="0554940B" w:rsidR="00980C70" w:rsidRDefault="00980C70" w:rsidP="00803864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 not have and do not have anything </w:t>
      </w:r>
      <w:r w:rsidR="001903B4">
        <w:rPr>
          <w:rFonts w:cstheme="minorHAnsi"/>
        </w:rPr>
        <w:t>similar (that is, documents we must start drafting and archiving)</w:t>
      </w:r>
    </w:p>
    <w:p w14:paraId="1E906D1D" w14:textId="77777777" w:rsidR="001903B4" w:rsidRPr="00863131" w:rsidRDefault="001903B4" w:rsidP="001903B4">
      <w:pPr>
        <w:pStyle w:val="ListParagraph"/>
        <w:spacing w:after="0" w:line="240" w:lineRule="auto"/>
        <w:ind w:left="2160"/>
        <w:rPr>
          <w:rFonts w:cstheme="minorHAnsi"/>
        </w:rPr>
      </w:pPr>
    </w:p>
    <w:p w14:paraId="03478F9E" w14:textId="77777777" w:rsidR="00540930" w:rsidRDefault="00540930" w:rsidP="00540930"/>
    <w:p w14:paraId="2EE3D9B3" w14:textId="15562D8B" w:rsidR="00676DDE" w:rsidRDefault="00BA6B5E" w:rsidP="00676DDE">
      <w:pPr>
        <w:spacing w:after="0" w:line="240" w:lineRule="auto"/>
        <w:rPr>
          <w:rFonts w:cstheme="minorHAnsi"/>
        </w:rPr>
      </w:pPr>
      <w:r>
        <w:rPr>
          <w:rFonts w:cstheme="minorHAnsi"/>
        </w:rPr>
        <w:t>Email from Gail 21 Feb. 2024</w:t>
      </w:r>
    </w:p>
    <w:p w14:paraId="500A46D8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Hi Claudio,</w:t>
      </w:r>
    </w:p>
    <w:p w14:paraId="354CB299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 </w:t>
      </w:r>
    </w:p>
    <w:p w14:paraId="5A6C6129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Here are summary comments based on 9 interviews with Chairs and Program Directors:</w:t>
      </w:r>
    </w:p>
    <w:p w14:paraId="0AD849F9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 </w:t>
      </w:r>
    </w:p>
    <w:p w14:paraId="269A9466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b/>
          <w:bCs/>
          <w:color w:val="242424"/>
          <w:sz w:val="28"/>
          <w:szCs w:val="28"/>
          <w:bdr w:val="none" w:sz="0" w:space="0" w:color="auto" w:frame="1"/>
        </w:rPr>
        <w:t>Do you find the current Curricular Review process and its guidelines to be a supportive tool in designing and improving your department or program’s curricula?  Why or why not</w:t>
      </w:r>
      <w:r w:rsidRPr="00BA6B5E">
        <w:rPr>
          <w:rFonts w:ascii="inherit" w:eastAsia="Times New Roman" w:hAnsi="inherit" w:cs="Times New Roman"/>
          <w:color w:val="242424"/>
          <w:sz w:val="28"/>
          <w:szCs w:val="28"/>
          <w:bdr w:val="none" w:sz="0" w:space="0" w:color="auto" w:frame="1"/>
        </w:rPr>
        <w:t>?</w:t>
      </w:r>
    </w:p>
    <w:p w14:paraId="133BD6B6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sz w:val="28"/>
          <w:szCs w:val="28"/>
          <w:bdr w:val="none" w:sz="0" w:space="0" w:color="auto" w:frame="1"/>
        </w:rPr>
        <w:t> </w:t>
      </w:r>
    </w:p>
    <w:p w14:paraId="79A8CCCB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b/>
          <w:bCs/>
          <w:i/>
          <w:iCs/>
          <w:color w:val="242424"/>
          <w:sz w:val="28"/>
          <w:szCs w:val="28"/>
          <w:bdr w:val="none" w:sz="0" w:space="0" w:color="auto" w:frame="1"/>
        </w:rPr>
        <w:t>Generally, yes.</w:t>
      </w:r>
      <w:r w:rsidRPr="00BA6B5E">
        <w:rPr>
          <w:rFonts w:ascii="inherit" w:eastAsia="Times New Roman" w:hAnsi="inherit" w:cs="Times New Roman"/>
          <w:color w:val="242424"/>
          <w:sz w:val="28"/>
          <w:szCs w:val="28"/>
          <w:bdr w:val="none" w:sz="0" w:space="0" w:color="auto" w:frame="1"/>
        </w:rPr>
        <w:t>  A few comments and suggestions:</w:t>
      </w:r>
    </w:p>
    <w:p w14:paraId="5BC58F4A" w14:textId="77777777" w:rsidR="00BA6B5E" w:rsidRPr="00BA6B5E" w:rsidRDefault="00BA6B5E" w:rsidP="00BA6B5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ptos" w:eastAsia="Times New Roman" w:hAnsi="Aptos" w:cs="Segoe UI"/>
          <w:color w:val="242424"/>
        </w:rPr>
      </w:pPr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lastRenderedPageBreak/>
        <w:t xml:space="preserve">The guidelines are “loose” enough” to be </w:t>
      </w:r>
      <w:proofErr w:type="gramStart"/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>useful</w:t>
      </w:r>
      <w:proofErr w:type="gramEnd"/>
    </w:p>
    <w:p w14:paraId="4516FA5A" w14:textId="77777777" w:rsidR="00BA6B5E" w:rsidRPr="00BA6B5E" w:rsidRDefault="00BA6B5E" w:rsidP="00BA6B5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ptos" w:eastAsia="Times New Roman" w:hAnsi="Aptos" w:cs="Segoe UI"/>
          <w:color w:val="242424"/>
        </w:rPr>
      </w:pPr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 xml:space="preserve">Coaching by Academic Affairs was </w:t>
      </w:r>
      <w:proofErr w:type="gramStart"/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>helpful</w:t>
      </w:r>
      <w:proofErr w:type="gramEnd"/>
    </w:p>
    <w:p w14:paraId="1D8F1AD3" w14:textId="77777777" w:rsidR="00BA6B5E" w:rsidRPr="00BA6B5E" w:rsidRDefault="00BA6B5E" w:rsidP="00BA6B5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ptos" w:eastAsia="Times New Roman" w:hAnsi="Aptos" w:cs="Segoe UI"/>
          <w:color w:val="242424"/>
        </w:rPr>
      </w:pPr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 xml:space="preserve">Advice from other chairs may be </w:t>
      </w:r>
      <w:proofErr w:type="gramStart"/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>useful</w:t>
      </w:r>
      <w:proofErr w:type="gramEnd"/>
    </w:p>
    <w:p w14:paraId="1604D91C" w14:textId="77777777" w:rsidR="00BA6B5E" w:rsidRPr="00BA6B5E" w:rsidRDefault="00BA6B5E" w:rsidP="00BA6B5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ptos" w:eastAsia="Times New Roman" w:hAnsi="Aptos" w:cs="Segoe UI"/>
          <w:color w:val="242424"/>
        </w:rPr>
      </w:pPr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 xml:space="preserve">Choose external reviewers carefully – this is an important piece of the </w:t>
      </w:r>
      <w:proofErr w:type="gramStart"/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>process</w:t>
      </w:r>
      <w:proofErr w:type="gramEnd"/>
    </w:p>
    <w:p w14:paraId="5309D373" w14:textId="77777777" w:rsidR="00BA6B5E" w:rsidRPr="00BA6B5E" w:rsidRDefault="00BA6B5E" w:rsidP="00BA6B5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ptos" w:eastAsia="Times New Roman" w:hAnsi="Aptos" w:cs="Segoe UI"/>
          <w:color w:val="242424"/>
        </w:rPr>
      </w:pPr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 xml:space="preserve">How to best </w:t>
      </w:r>
      <w:proofErr w:type="gramStart"/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>insure</w:t>
      </w:r>
      <w:proofErr w:type="gramEnd"/>
      <w:r w:rsidRPr="00BA6B5E">
        <w:rPr>
          <w:rFonts w:ascii="inherit" w:eastAsia="Times New Roman" w:hAnsi="inherit" w:cs="Segoe UI"/>
          <w:color w:val="242424"/>
          <w:sz w:val="28"/>
          <w:szCs w:val="28"/>
          <w:bdr w:val="none" w:sz="0" w:space="0" w:color="auto" w:frame="1"/>
        </w:rPr>
        <w:t xml:space="preserve"> full participation from the Department?</w:t>
      </w:r>
    </w:p>
    <w:p w14:paraId="3B01B92C" w14:textId="77777777" w:rsidR="00BA6B5E" w:rsidRPr="00BA6B5E" w:rsidRDefault="00BA6B5E" w:rsidP="00BA6B5E">
      <w:pPr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A6B5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“The requirement to involve all department was the more effective part.”</w:t>
      </w:r>
    </w:p>
    <w:p w14:paraId="4C299105" w14:textId="77777777" w:rsidR="00BA6B5E" w:rsidRPr="00BA6B5E" w:rsidRDefault="00BA6B5E" w:rsidP="00BA6B5E">
      <w:pPr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A6B5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“Everyone contributed to design, took part, etc.  This was useful but not necessarily because of the process structure.” </w:t>
      </w:r>
    </w:p>
    <w:p w14:paraId="71AD43F5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 </w:t>
      </w:r>
    </w:p>
    <w:p w14:paraId="1F14F15C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Problems highlighted by the Chairs and Program Directors were linked to follow-on activities such as curricular approval processes or lack of resources to implement action items highlighted in the Review.</w:t>
      </w:r>
    </w:p>
    <w:p w14:paraId="017C2ADF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 </w:t>
      </w:r>
    </w:p>
    <w:p w14:paraId="13855554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So overall, no modifications to the Curriculum Review Process document are needed at this time.</w:t>
      </w:r>
    </w:p>
    <w:p w14:paraId="7D272059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 </w:t>
      </w:r>
    </w:p>
    <w:p w14:paraId="611101CF" w14:textId="77777777" w:rsidR="00BA6B5E" w:rsidRPr="00BA6B5E" w:rsidRDefault="00BA6B5E" w:rsidP="00BA6B5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</w:rPr>
      </w:pPr>
      <w:r w:rsidRPr="00BA6B5E">
        <w:rPr>
          <w:rFonts w:ascii="inherit" w:eastAsia="Times New Roman" w:hAnsi="inherit" w:cs="Times New Roman"/>
          <w:color w:val="242424"/>
          <w:bdr w:val="none" w:sz="0" w:space="0" w:color="auto" w:frame="1"/>
        </w:rPr>
        <w:t>Cheers, Gail</w:t>
      </w:r>
    </w:p>
    <w:p w14:paraId="62E7E6A7" w14:textId="77777777" w:rsidR="00BA6B5E" w:rsidRPr="00931384" w:rsidRDefault="00BA6B5E" w:rsidP="00676DDE">
      <w:pPr>
        <w:spacing w:after="0" w:line="240" w:lineRule="auto"/>
        <w:rPr>
          <w:rFonts w:cstheme="minorHAnsi"/>
        </w:rPr>
      </w:pPr>
    </w:p>
    <w:p w14:paraId="76236311" w14:textId="77777777" w:rsidR="00676DDE" w:rsidRDefault="00676DDE" w:rsidP="00676DDE">
      <w:pPr>
        <w:spacing w:after="0" w:line="240" w:lineRule="auto"/>
        <w:rPr>
          <w:rFonts w:cstheme="minorHAnsi"/>
        </w:rPr>
      </w:pPr>
    </w:p>
    <w:p w14:paraId="469C8879" w14:textId="77777777" w:rsidR="00676DDE" w:rsidRPr="00540930" w:rsidRDefault="00676DDE" w:rsidP="00676DDE"/>
    <w:p w14:paraId="7B9E2CF8" w14:textId="77777777" w:rsidR="00AE4184" w:rsidRPr="00540930" w:rsidRDefault="00AE4184" w:rsidP="00676DDE"/>
    <w:sectPr w:rsidR="00AE4184" w:rsidRPr="00540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77"/>
    <w:multiLevelType w:val="multilevel"/>
    <w:tmpl w:val="584A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34D6"/>
    <w:multiLevelType w:val="hybridMultilevel"/>
    <w:tmpl w:val="98546E86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80207"/>
    <w:multiLevelType w:val="hybridMultilevel"/>
    <w:tmpl w:val="FF9A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33415859">
    <w:abstractNumId w:val="1"/>
  </w:num>
  <w:num w:numId="2" w16cid:durableId="577322717">
    <w:abstractNumId w:val="8"/>
  </w:num>
  <w:num w:numId="3" w16cid:durableId="1376352208">
    <w:abstractNumId w:val="7"/>
  </w:num>
  <w:num w:numId="4" w16cid:durableId="1786188972">
    <w:abstractNumId w:val="0"/>
  </w:num>
  <w:num w:numId="5" w16cid:durableId="1432319055">
    <w:abstractNumId w:val="4"/>
  </w:num>
  <w:num w:numId="6" w16cid:durableId="785271060">
    <w:abstractNumId w:val="5"/>
  </w:num>
  <w:num w:numId="7" w16cid:durableId="1643391696">
    <w:abstractNumId w:val="10"/>
  </w:num>
  <w:num w:numId="8" w16cid:durableId="279727126">
    <w:abstractNumId w:val="2"/>
  </w:num>
  <w:num w:numId="9" w16cid:durableId="2061632412">
    <w:abstractNumId w:val="6"/>
  </w:num>
  <w:num w:numId="10" w16cid:durableId="2138599946">
    <w:abstractNumId w:val="11"/>
  </w:num>
  <w:num w:numId="11" w16cid:durableId="829833340">
    <w:abstractNumId w:val="9"/>
  </w:num>
  <w:num w:numId="12" w16cid:durableId="22387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51647"/>
    <w:rsid w:val="00055570"/>
    <w:rsid w:val="00067C60"/>
    <w:rsid w:val="000723FE"/>
    <w:rsid w:val="00096D01"/>
    <w:rsid w:val="001208D0"/>
    <w:rsid w:val="00160AD7"/>
    <w:rsid w:val="001903B4"/>
    <w:rsid w:val="0019377A"/>
    <w:rsid w:val="001A1246"/>
    <w:rsid w:val="00202497"/>
    <w:rsid w:val="00224BA0"/>
    <w:rsid w:val="00243B4C"/>
    <w:rsid w:val="002862B8"/>
    <w:rsid w:val="0034739A"/>
    <w:rsid w:val="0035444A"/>
    <w:rsid w:val="0037678D"/>
    <w:rsid w:val="003903C5"/>
    <w:rsid w:val="004458FA"/>
    <w:rsid w:val="004D05CD"/>
    <w:rsid w:val="004E16C3"/>
    <w:rsid w:val="00540930"/>
    <w:rsid w:val="005C24D8"/>
    <w:rsid w:val="005E5EDE"/>
    <w:rsid w:val="00603479"/>
    <w:rsid w:val="00613428"/>
    <w:rsid w:val="00675CF3"/>
    <w:rsid w:val="00676DDE"/>
    <w:rsid w:val="006D617B"/>
    <w:rsid w:val="007144DE"/>
    <w:rsid w:val="00803864"/>
    <w:rsid w:val="008568E5"/>
    <w:rsid w:val="00863131"/>
    <w:rsid w:val="008B7D1C"/>
    <w:rsid w:val="008D686F"/>
    <w:rsid w:val="00980C70"/>
    <w:rsid w:val="0099213A"/>
    <w:rsid w:val="00992AB8"/>
    <w:rsid w:val="009A38B8"/>
    <w:rsid w:val="009B7E2B"/>
    <w:rsid w:val="009C5C5E"/>
    <w:rsid w:val="009F3CBC"/>
    <w:rsid w:val="00A711AE"/>
    <w:rsid w:val="00A84402"/>
    <w:rsid w:val="00AE1302"/>
    <w:rsid w:val="00AE4184"/>
    <w:rsid w:val="00AF7EF8"/>
    <w:rsid w:val="00B023D5"/>
    <w:rsid w:val="00B114EA"/>
    <w:rsid w:val="00B2622B"/>
    <w:rsid w:val="00B62FAB"/>
    <w:rsid w:val="00B86A47"/>
    <w:rsid w:val="00BA6B5E"/>
    <w:rsid w:val="00BE5B3B"/>
    <w:rsid w:val="00BE70FB"/>
    <w:rsid w:val="00C7011D"/>
    <w:rsid w:val="00C91791"/>
    <w:rsid w:val="00CB1850"/>
    <w:rsid w:val="00D37164"/>
    <w:rsid w:val="00D63A03"/>
    <w:rsid w:val="00DC054A"/>
    <w:rsid w:val="00DD4105"/>
    <w:rsid w:val="00DD526C"/>
    <w:rsid w:val="00E83560"/>
    <w:rsid w:val="00E95A64"/>
    <w:rsid w:val="00EA4ABC"/>
    <w:rsid w:val="00ED4FFD"/>
    <w:rsid w:val="00F17BDF"/>
    <w:rsid w:val="00F20B08"/>
    <w:rsid w:val="00F2314A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937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377A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BA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7ea242-36aa-42a4-bfcf-b7cbaad1d83b}" enabled="0" method="" siteId="{787ea242-36aa-42a4-bfcf-b7cbaad1d8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20</cp:revision>
  <dcterms:created xsi:type="dcterms:W3CDTF">2024-02-21T09:36:00Z</dcterms:created>
  <dcterms:modified xsi:type="dcterms:W3CDTF">2024-02-21T10:12:00Z</dcterms:modified>
</cp:coreProperties>
</file>